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eastAsia="方正小标宋_GBK" w:cs="方正小标宋_GBK"/>
          <w:bCs/>
          <w:color w:val="000000"/>
          <w:spacing w:val="-23"/>
          <w:kern w:val="0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bCs/>
          <w:color w:val="000000"/>
          <w:spacing w:val="-23"/>
          <w:kern w:val="0"/>
          <w:sz w:val="44"/>
          <w:szCs w:val="44"/>
          <w:lang w:val="en-US" w:eastAsia="zh-CN"/>
        </w:rPr>
        <w:t>《巴中市恩阳区城市规划区内违法建设管控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仿宋_GBK" w:eastAsia="方正仿宋_GBK" w:cs="方正仿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bCs/>
          <w:color w:val="000000"/>
          <w:spacing w:val="-23"/>
          <w:kern w:val="0"/>
          <w:sz w:val="44"/>
          <w:szCs w:val="44"/>
          <w:lang w:val="en-US" w:eastAsia="zh-CN"/>
        </w:rPr>
        <w:t>暂行办法（征求意见稿）》起草说明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Calibri" w:eastAsia="方正黑体_GBK" w:cs="方正黑体_GBK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方正黑体_GBK" w:eastAsia="方正黑体_GBK" w:cs="方正黑体_GBK"/>
          <w:sz w:val="32"/>
          <w:szCs w:val="32"/>
          <w:lang w:val="en-US" w:eastAsia="zh-CN"/>
        </w:rPr>
        <w:t>起草背景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为进一步明确我区城市规划区内违法建设行为的监督管理主体职责，遏制和打击违法建设行为，规范城乡规划建设管理秩序，改善人居环境，根据</w:t>
      </w:r>
      <w:r>
        <w:rPr>
          <w:rFonts w:hint="eastAsia" w:ascii="方正仿宋_GBK" w:eastAsia="方正仿宋_GBK" w:cs="方正仿宋_GBK"/>
          <w:b w:val="0"/>
          <w:bCs w:val="0"/>
          <w:sz w:val="32"/>
          <w:szCs w:val="32"/>
          <w:lang w:bidi="ar-SA"/>
        </w:rPr>
        <w:t>《中华人民共和国城乡规划法》《中华人民共和国土地管理法》</w:t>
      </w:r>
      <w:r>
        <w:rPr>
          <w:rFonts w:hint="eastAsia" w:ascii="方正仿宋_GBK" w:eastAsia="方正仿宋_GBK" w:cs="方正仿宋_GBK"/>
          <w:b w:val="0"/>
          <w:bCs w:val="0"/>
          <w:sz w:val="32"/>
          <w:szCs w:val="32"/>
          <w:lang w:val="en-US" w:eastAsia="zh-CN" w:bidi="ar-SA"/>
        </w:rPr>
        <w:t>等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法律法规的规定，结合我区实际，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区综合行政执法局牵头起草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本《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暂行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eastAsia="方正黑体_GBK" w:cs="方正黑体_GBK"/>
          <w:sz w:val="32"/>
          <w:szCs w:val="32"/>
          <w:lang w:eastAsia="zh-CN"/>
        </w:rPr>
        <w:t>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firstLine="640" w:firstLineChars="200"/>
        <w:rPr>
          <w:rFonts w:hint="eastAsia" w:ascii="方正黑体简体" w:eastAsia="方正黑体简体" w:cs="方正黑体简体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 w:cs="方正黑体简体"/>
          <w:color w:val="000000"/>
          <w:sz w:val="32"/>
          <w:szCs w:val="32"/>
          <w:lang w:val="en-US" w:bidi="ar-SA"/>
        </w:rPr>
        <w:t>《</w:t>
      </w:r>
      <w:r>
        <w:rPr>
          <w:rFonts w:hint="eastAsia" w:ascii="方正仿宋_GBK" w:eastAsia="方正仿宋_GBK" w:cs="方正黑体简体"/>
          <w:color w:val="000000"/>
          <w:sz w:val="32"/>
          <w:szCs w:val="32"/>
          <w:lang w:val="en-US" w:eastAsia="zh-CN" w:bidi="ar-SA"/>
        </w:rPr>
        <w:t>暂行</w:t>
      </w:r>
      <w:r>
        <w:rPr>
          <w:rFonts w:hint="eastAsia" w:ascii="方正仿宋_GBK" w:eastAsia="方正仿宋_GBK" w:cs="方正黑体简体"/>
          <w:color w:val="000000"/>
          <w:sz w:val="32"/>
          <w:szCs w:val="32"/>
          <w:lang w:val="en-US" w:bidi="ar-SA"/>
        </w:rPr>
        <w:t>办法》分六章</w:t>
      </w:r>
      <w:r>
        <w:rPr>
          <w:rFonts w:ascii="方正仿宋_GBK" w:eastAsia="方正仿宋_GBK" w:cs="方正黑体简体"/>
          <w:color w:val="000000"/>
          <w:sz w:val="32"/>
          <w:szCs w:val="32"/>
          <w:lang w:val="en-US" w:bidi="ar-SA"/>
        </w:rPr>
        <w:t>三十</w:t>
      </w:r>
      <w:r>
        <w:rPr>
          <w:rFonts w:hint="eastAsia" w:ascii="方正仿宋_GBK" w:eastAsia="方正仿宋_GBK" w:cs="方正黑体简体"/>
          <w:color w:val="000000"/>
          <w:sz w:val="32"/>
          <w:szCs w:val="32"/>
          <w:lang w:val="en-US" w:eastAsia="zh-CN" w:bidi="ar-SA"/>
        </w:rPr>
        <w:t>八</w:t>
      </w:r>
      <w:r>
        <w:rPr>
          <w:rFonts w:ascii="方正仿宋_GBK" w:eastAsia="方正仿宋_GBK" w:cs="方正黑体简体"/>
          <w:color w:val="000000"/>
          <w:sz w:val="32"/>
          <w:szCs w:val="32"/>
          <w:lang w:val="en-US" w:bidi="ar-SA"/>
        </w:rPr>
        <w:t>条</w:t>
      </w:r>
      <w:r>
        <w:rPr>
          <w:rFonts w:hint="eastAsia" w:ascii="方正仿宋_GBK" w:eastAsia="方正仿宋_GBK" w:cs="方正黑体简体"/>
          <w:color w:val="000000"/>
          <w:sz w:val="32"/>
          <w:szCs w:val="32"/>
          <w:lang w:val="en-US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firstLine="643" w:firstLineChars="200"/>
        <w:rPr>
          <w:rFonts w:hint="eastAsia" w:ascii="方正黑体简体" w:eastAsia="方正黑体简体" w:cs="方正黑体简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方正楷体_GBK" w:eastAsia="方正楷体_GBK" w:cs="方正黑体简体"/>
          <w:b/>
          <w:bCs/>
          <w:color w:val="000000"/>
          <w:sz w:val="32"/>
          <w:szCs w:val="32"/>
          <w:lang w:eastAsia="zh-CN"/>
        </w:rPr>
        <w:t>第一章为总则。</w:t>
      </w:r>
      <w:r>
        <w:rPr>
          <w:rFonts w:ascii="方正仿宋_GBK" w:eastAsia="方正仿宋_GBK" w:cs="方正黑体简体"/>
          <w:color w:val="000000"/>
          <w:sz w:val="32"/>
          <w:szCs w:val="32"/>
          <w:lang w:eastAsia="zh-CN"/>
        </w:rPr>
        <w:t>列举了相关法律条款，对办法适用范围、违法建设处置方式、管控权责划分等进行说明。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djustRightInd/>
        <w:snapToGrid/>
        <w:spacing w:line="540" w:lineRule="exact"/>
        <w:ind w:left="0" w:firstLine="643" w:firstLineChars="200"/>
        <w:rPr>
          <w:rFonts w:hint="eastAsia" w:ascii="方正楷体_GBK" w:eastAsia="方正楷体_GBK" w:cs="方正黑体简体"/>
          <w:b/>
          <w:bCs/>
          <w:color w:val="000000"/>
          <w:sz w:val="32"/>
          <w:szCs w:val="32"/>
        </w:rPr>
      </w:pPr>
      <w:r>
        <w:rPr>
          <w:rFonts w:hint="eastAsia" w:ascii="方正楷体_GBK" w:eastAsia="方正楷体_GBK" w:cs="方正黑体简体"/>
          <w:b/>
          <w:bCs/>
          <w:color w:val="000000"/>
          <w:sz w:val="32"/>
          <w:szCs w:val="32"/>
          <w:lang w:val="en-US" w:bidi="ar-SA"/>
        </w:rPr>
        <w:t>第二章为控制和查处对象。</w:t>
      </w:r>
      <w:r>
        <w:rPr>
          <w:rFonts w:ascii="方正仿宋_GBK" w:eastAsia="方正仿宋_GBK" w:cs="方正黑体简体"/>
          <w:bCs/>
          <w:color w:val="000000"/>
          <w:sz w:val="32"/>
          <w:szCs w:val="32"/>
          <w:lang w:val="en-US" w:bidi="ar-SA"/>
        </w:rPr>
        <w:t>对违法建设行为进行界定。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left="0" w:firstLine="643" w:firstLineChars="200"/>
        <w:rPr>
          <w:rFonts w:hint="eastAsia" w:ascii="方正楷体_GBK" w:eastAsia="方正楷体_GBK" w:cs="方正黑体简体"/>
          <w:b/>
          <w:bCs/>
          <w:color w:val="000000"/>
          <w:sz w:val="32"/>
          <w:szCs w:val="32"/>
        </w:rPr>
      </w:pPr>
      <w:r>
        <w:rPr>
          <w:rFonts w:hint="eastAsia" w:ascii="方正楷体_GBK" w:eastAsia="方正楷体_GBK" w:cs="方正黑体简体"/>
          <w:b/>
          <w:bCs/>
          <w:color w:val="000000"/>
          <w:sz w:val="32"/>
          <w:szCs w:val="32"/>
          <w:lang w:val="en-US" w:bidi="ar-SA"/>
        </w:rPr>
        <w:t>第三章为违法建设管控和查处的主体及相关部门职责</w:t>
      </w:r>
      <w:r>
        <w:rPr>
          <w:rFonts w:ascii="方正楷体_GBK" w:eastAsia="方正楷体_GBK" w:cs="方正黑体简体"/>
          <w:b/>
          <w:bCs/>
          <w:color w:val="000000"/>
          <w:sz w:val="32"/>
          <w:szCs w:val="32"/>
          <w:lang w:val="en-US" w:bidi="ar-SA"/>
        </w:rPr>
        <w:t>。</w:t>
      </w:r>
      <w:r>
        <w:rPr>
          <w:rFonts w:ascii="方正仿宋_GBK" w:eastAsia="方正仿宋_GBK" w:cs="方正仿宋_GBK"/>
          <w:sz w:val="32"/>
          <w:szCs w:val="32"/>
          <w:lang w:eastAsia="zh-CN" w:bidi="ar-SA"/>
        </w:rPr>
        <w:t>对镇（街道）、村（居）委会、物业服务企业在履行违法建设管控辖区管理主体责任，规划、住建等部门行业主体责任及执法部门的执法主体责任进行了明确。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left="0" w:firstLine="643" w:firstLineChars="200"/>
        <w:rPr>
          <w:rFonts w:hint="eastAsia" w:ascii="方正仿宋_GBK" w:eastAsia="方正仿宋_GBK" w:cs="方正仿宋_GBK"/>
          <w:bCs/>
          <w:sz w:val="32"/>
          <w:szCs w:val="32"/>
        </w:rPr>
      </w:pPr>
      <w:r>
        <w:rPr>
          <w:rFonts w:hint="eastAsia" w:ascii="方正楷体_GBK" w:eastAsia="方正楷体_GBK" w:cs="方正黑体简体"/>
          <w:b/>
          <w:bCs/>
          <w:color w:val="000000"/>
          <w:sz w:val="32"/>
          <w:szCs w:val="32"/>
          <w:lang w:val="en-US" w:bidi="ar-SA"/>
        </w:rPr>
        <w:t>第四章为违法建筑的防控与查处</w:t>
      </w:r>
      <w:r>
        <w:rPr>
          <w:rFonts w:ascii="方正仿宋_GBK" w:eastAsia="方正仿宋_GBK" w:cs="方正仿宋_GBK"/>
          <w:sz w:val="32"/>
          <w:szCs w:val="32"/>
          <w:lang w:val="en-US"/>
        </w:rPr>
        <w:t>。按照</w:t>
      </w:r>
      <w:r>
        <w:rPr>
          <w:rFonts w:hint="eastAsia" w:ascii="方正仿宋_GBK" w:eastAsia="方正仿宋_GBK" w:cs="方正仿宋_GBK"/>
          <w:bCs/>
          <w:sz w:val="32"/>
          <w:szCs w:val="32"/>
        </w:rPr>
        <w:t>临时建筑</w:t>
      </w:r>
      <w:r>
        <w:rPr>
          <w:rFonts w:ascii="方正仿宋_GBK" w:eastAsia="方正仿宋_GBK" w:cs="方正仿宋_GBK"/>
          <w:bCs/>
          <w:sz w:val="32"/>
          <w:szCs w:val="32"/>
        </w:rPr>
        <w:t>、</w:t>
      </w:r>
      <w:r>
        <w:rPr>
          <w:rFonts w:hint="eastAsia" w:ascii="方正仿宋_GBK" w:eastAsia="方正仿宋_GBK" w:cs="方正仿宋_GBK"/>
          <w:bCs/>
          <w:sz w:val="32"/>
          <w:szCs w:val="32"/>
        </w:rPr>
        <w:t>永久建筑</w:t>
      </w:r>
      <w:r>
        <w:rPr>
          <w:rFonts w:ascii="方正仿宋_GBK" w:eastAsia="方正仿宋_GBK" w:cs="方正仿宋_GBK"/>
          <w:bCs/>
          <w:sz w:val="32"/>
          <w:szCs w:val="32"/>
        </w:rPr>
        <w:t>、</w:t>
      </w:r>
      <w:r>
        <w:rPr>
          <w:rFonts w:hint="eastAsia" w:ascii="方正仿宋_GBK" w:eastAsia="方正仿宋_GBK" w:cs="方正仿宋_GBK"/>
          <w:bCs/>
          <w:sz w:val="32"/>
          <w:szCs w:val="32"/>
        </w:rPr>
        <w:t>小区违法建筑</w:t>
      </w:r>
      <w:r>
        <w:rPr>
          <w:rFonts w:ascii="方正仿宋_GBK" w:eastAsia="方正仿宋_GBK" w:cs="方正仿宋_GBK"/>
          <w:bCs/>
          <w:sz w:val="32"/>
          <w:szCs w:val="32"/>
        </w:rPr>
        <w:t>等类型，分类明确了处理方</w:t>
      </w:r>
      <w:r>
        <w:rPr>
          <w:rFonts w:hint="eastAsia" w:ascii="方正仿宋_GBK" w:eastAsia="方正仿宋_GBK" w:cs="方正仿宋_GBK"/>
          <w:bCs/>
          <w:sz w:val="32"/>
          <w:szCs w:val="32"/>
        </w:rPr>
        <w:t>式</w:t>
      </w:r>
      <w:r>
        <w:rPr>
          <w:rFonts w:hint="eastAsia" w:ascii="方正仿宋_GBK" w:eastAsia="方正仿宋_GBK" w:cs="方正仿宋_GBK"/>
          <w:bCs/>
          <w:sz w:val="32"/>
          <w:szCs w:val="32"/>
          <w:lang w:bidi="ar-SA"/>
        </w:rPr>
        <w:t>。</w:t>
      </w:r>
      <w:r>
        <w:rPr>
          <w:rFonts w:hint="eastAsia" w:ascii="方正仿宋_GBK" w:eastAsia="方正仿宋_GBK" w:cs="方正仿宋_GBK"/>
          <w:bCs/>
          <w:sz w:val="32"/>
          <w:szCs w:val="32"/>
        </w:rPr>
        <w:t>对违法建设查处提出了相关要求。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540" w:lineRule="exact"/>
        <w:ind w:firstLine="643" w:firstLineChars="200"/>
        <w:jc w:val="both"/>
        <w:rPr>
          <w:rFonts w:hint="eastAsia" w:ascii="方正楷体_GBK" w:eastAsia="方正楷体_GBK" w:cs="方正黑体简体"/>
          <w:b/>
          <w:bCs/>
          <w:color w:val="000000"/>
          <w:sz w:val="32"/>
          <w:szCs w:val="32"/>
          <w:lang w:val="en-US" w:bidi="ar-SA"/>
        </w:rPr>
      </w:pPr>
      <w:r>
        <w:rPr>
          <w:rFonts w:hint="eastAsia" w:ascii="方正楷体_GBK" w:eastAsia="方正楷体_GBK" w:cs="方正黑体简体"/>
          <w:b/>
          <w:bCs/>
          <w:color w:val="000000"/>
          <w:sz w:val="32"/>
          <w:szCs w:val="32"/>
          <w:lang w:val="en-US" w:bidi="ar-SA"/>
        </w:rPr>
        <w:t>第五章为考核和监督</w:t>
      </w:r>
      <w:r>
        <w:rPr>
          <w:rFonts w:ascii="方正楷体_GBK" w:eastAsia="方正楷体_GBK" w:cs="方正黑体简体"/>
          <w:b/>
          <w:bCs/>
          <w:color w:val="000000"/>
          <w:sz w:val="32"/>
          <w:szCs w:val="32"/>
          <w:lang w:val="en-US" w:bidi="ar-SA"/>
        </w:rPr>
        <w:t>。</w:t>
      </w:r>
      <w:r>
        <w:rPr>
          <w:rFonts w:ascii="方正仿宋_GBK" w:eastAsia="方正仿宋_GBK" w:cs="宋体"/>
          <w:color w:val="000000"/>
          <w:sz w:val="32"/>
          <w:szCs w:val="32"/>
          <w:lang w:val="en-US" w:eastAsia="zh-CN" w:bidi="ar-SA"/>
        </w:rPr>
        <w:t>对违法建设管控及查处的问效问责等进行了具体规定。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textAlignment w:val="auto"/>
        <w:rPr>
          <w:rFonts w:hint="eastAsia" w:ascii="方正楷体_GBK" w:eastAsia="方正楷体_GBK" w:cs="方正黑体简体"/>
          <w:b/>
          <w:bCs/>
          <w:color w:val="000000"/>
          <w:sz w:val="32"/>
          <w:szCs w:val="32"/>
          <w:lang w:val="en-US" w:eastAsia="zh-CN" w:bidi="ar-SA"/>
        </w:rPr>
      </w:pPr>
      <w:r>
        <w:rPr>
          <w:rFonts w:hint="eastAsia" w:ascii="方正楷体_GBK" w:eastAsia="方正楷体_GBK" w:cs="方正黑体简体"/>
          <w:b/>
          <w:bCs/>
          <w:color w:val="000000"/>
          <w:sz w:val="32"/>
          <w:szCs w:val="32"/>
          <w:lang w:val="en-US" w:bidi="ar-SA"/>
        </w:rPr>
        <w:t>第六章为附则</w:t>
      </w:r>
      <w:r>
        <w:rPr>
          <w:rFonts w:hint="eastAsia" w:ascii="方正楷体_GBK" w:eastAsia="方正楷体_GBK" w:cs="方正黑体简体"/>
          <w:b/>
          <w:bCs/>
          <w:color w:val="00000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 w:cs="方正黑体_GBK"/>
          <w:sz w:val="32"/>
          <w:szCs w:val="32"/>
          <w:lang w:val="en-US" w:eastAsia="zh-CN"/>
        </w:rPr>
        <w:t>三、专题研究及征求意见情况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区城管委办公室分别于2024年1月22日、1月25日、3月28日，书面征求了区住建局、区信访局等43个成员单位意见，共收到反馈意见29条，已采纳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条，详细情况见征求意见汇总表。</w:t>
      </w:r>
    </w:p>
    <w:p>
      <w:pPr>
        <w:pStyle w:val="2"/>
        <w:ind w:left="0" w:leftChars="0" w:firstLine="640" w:firstLineChars="200"/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2024年1月25日，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区委常委、副区长吴继华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组织召开会议对《暂行办法》进行专题研究，原则同意《暂行办法》。2024年3月25日，经区城市管理委员会2024年第一次全体会议审议通过。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 w:cs="方正黑体_GBK"/>
          <w:sz w:val="32"/>
          <w:szCs w:val="32"/>
          <w:lang w:val="en-US" w:eastAsia="zh-CN"/>
        </w:rPr>
        <w:t>四、合法性审查情况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经区司法局审查，对本暂行办法提出了6方面的修改意见，区综合行政执法局已经对照意见进行了全面修改。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兰亭黑_GBK">
    <w:altName w:val="Courier New"/>
    <w:panose1 w:val="00000000000000000000"/>
    <w:charset w:val="00"/>
    <w:family w:val="script"/>
    <w:pitch w:val="default"/>
    <w:sig w:usb0="00000000" w:usb1="00000000" w:usb2="0008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ascii="Times New Roman" w:hAnsi="Times New Roman"/>
        <w:sz w:val="28"/>
        <w:szCs w:val="28"/>
      </w:rPr>
    </w:pPr>
    <w:r>
      <w:rPr>
        <w:rStyle w:val="14"/>
        <w:rFonts w:ascii="Times New Roman" w:hAnsi="Times New Roman"/>
        <w:sz w:val="28"/>
        <w:szCs w:val="28"/>
      </w:rPr>
      <w:t>—</w:t>
    </w:r>
    <w:r>
      <w:rPr>
        <w:rStyle w:val="14"/>
        <w:rFonts w:ascii="Times New Roman" w:hAnsi="Times New Roman"/>
        <w:sz w:val="28"/>
        <w:szCs w:val="28"/>
      </w:rPr>
      <w:fldChar w:fldCharType="begin"/>
    </w:r>
    <w:r>
      <w:rPr>
        <w:rStyle w:val="14"/>
        <w:rFonts w:ascii="Times New Roman" w:hAnsi="Times New Roman"/>
        <w:sz w:val="28"/>
        <w:szCs w:val="28"/>
      </w:rPr>
      <w:instrText xml:space="preserve">Page</w:instrText>
    </w:r>
    <w:r>
      <w:rPr>
        <w:rStyle w:val="14"/>
        <w:rFonts w:ascii="Times New Roman" w:hAnsi="Times New Roman"/>
        <w:sz w:val="28"/>
        <w:szCs w:val="28"/>
      </w:rPr>
      <w:fldChar w:fldCharType="separate"/>
    </w:r>
    <w:r>
      <w:rPr>
        <w:rStyle w:val="14"/>
        <w:rFonts w:ascii="Times New Roman" w:hAnsi="Times New Roman"/>
        <w:sz w:val="28"/>
        <w:szCs w:val="28"/>
      </w:rPr>
      <w:t>1</w:t>
    </w:r>
    <w:r>
      <w:rPr>
        <w:rStyle w:val="14"/>
        <w:rFonts w:ascii="Times New Roman" w:hAnsi="Times New Roman"/>
        <w:sz w:val="28"/>
        <w:szCs w:val="28"/>
      </w:rPr>
      <w:fldChar w:fldCharType="end"/>
    </w:r>
    <w:r>
      <w:rPr>
        <w:rStyle w:val="14"/>
        <w:rFonts w:ascii="Times New Roman" w:hAnsi="Times New Roman"/>
        <w:sz w:val="28"/>
        <w:szCs w:val="28"/>
      </w:rPr>
      <w:t>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4"/>
      </w:rPr>
      <w:fldChar w:fldCharType="begin"/>
    </w:r>
    <w:r>
      <w:rPr>
        <w:rStyle w:val="14"/>
      </w:rPr>
      <w:instrText xml:space="preserve">Page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ZWYyZWFjNTYxODMyMWZlOThiYTQwZjMwOWU5YjQxNzQifQ=="/>
  </w:docVars>
  <w:rsids>
    <w:rsidRoot w:val="00000000"/>
    <w:rsid w:val="0BFB3F1E"/>
    <w:rsid w:val="15CC342E"/>
    <w:rsid w:val="1A6A5066"/>
    <w:rsid w:val="29C06932"/>
    <w:rsid w:val="2CCC6E8D"/>
    <w:rsid w:val="348B5377"/>
    <w:rsid w:val="44632FFB"/>
    <w:rsid w:val="44EE7726"/>
    <w:rsid w:val="45F452F6"/>
    <w:rsid w:val="53CF21F0"/>
    <w:rsid w:val="55394CC6"/>
    <w:rsid w:val="56B74EA0"/>
    <w:rsid w:val="57C32648"/>
    <w:rsid w:val="75F243EB"/>
    <w:rsid w:val="77E953A2"/>
    <w:rsid w:val="7D4F0F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3"/>
    <w:next w:val="1"/>
    <w:autoRedefine/>
    <w:qFormat/>
    <w:uiPriority w:val="0"/>
    <w:pPr>
      <w:widowControl w:val="0"/>
      <w:autoSpaceDE w:val="0"/>
      <w:autoSpaceDN w:val="0"/>
      <w:ind w:left="2156"/>
      <w:outlineLvl w:val="2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13">
    <w:name w:val="Default Paragraph Font"/>
    <w:autoRedefine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next w:val="5"/>
    <w:autoRedefine/>
    <w:qFormat/>
    <w:uiPriority w:val="0"/>
    <w:pPr>
      <w:ind w:firstLine="100" w:firstLineChars="100"/>
    </w:pPr>
  </w:style>
  <w:style w:type="paragraph" w:styleId="5">
    <w:name w:val="Body Text"/>
    <w:basedOn w:val="1"/>
    <w:autoRedefine/>
    <w:qFormat/>
    <w:uiPriority w:val="0"/>
    <w:pPr>
      <w:widowControl w:val="0"/>
      <w:autoSpaceDE w:val="0"/>
      <w:autoSpaceDN w:val="0"/>
    </w:pPr>
    <w:rPr>
      <w:rFonts w:ascii="PMingLiU" w:hAnsi="Times New Roman" w:eastAsia="PMingLiU" w:cs="PMingLiU"/>
      <w:sz w:val="24"/>
      <w:szCs w:val="24"/>
      <w:lang w:val="zh-CN" w:eastAsia="zh-CN" w:bidi="zh-CN"/>
    </w:rPr>
  </w:style>
  <w:style w:type="paragraph" w:styleId="7">
    <w:name w:val="Normal Indent"/>
    <w:basedOn w:val="1"/>
    <w:autoRedefine/>
    <w:qFormat/>
    <w:uiPriority w:val="0"/>
    <w:pPr>
      <w:ind w:firstLine="200" w:firstLineChars="200"/>
    </w:p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toc 1"/>
    <w:next w:val="1"/>
    <w:autoRedefine/>
    <w:qFormat/>
    <w:uiPriority w:val="0"/>
    <w:pPr>
      <w:widowControl w:val="0"/>
      <w:spacing w:line="578" w:lineRule="exact"/>
      <w:jc w:val="both"/>
    </w:pPr>
    <w:rPr>
      <w:rFonts w:ascii="Times New Roman" w:hAnsi="Times New Roman" w:eastAsia="仿宋_GB2312" w:cs="方正兰亭黑_GBK"/>
      <w:kern w:val="2"/>
      <w:sz w:val="32"/>
      <w:szCs w:val="32"/>
      <w:lang w:val="en-US" w:eastAsia="zh-CN" w:bidi="ar-SA"/>
    </w:rPr>
  </w:style>
  <w:style w:type="paragraph" w:styleId="11">
    <w:name w:val="Normal (Web)"/>
    <w:next w:val="7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14">
    <w:name w:val="page number"/>
    <w:basedOn w:val="1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715</Words>
  <Characters>730</Characters>
  <Lines>38</Lines>
  <Paragraphs>19</Paragraphs>
  <TotalTime>8</TotalTime>
  <ScaleCrop>false</ScaleCrop>
  <LinksUpToDate>false</LinksUpToDate>
  <CharactersWithSpaces>732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2022-08-07T05:19:00Z</dcterms:created>
  <dc:creator>向</dc:creator>
  <cp:lastModifiedBy>哈哈哈哈</cp:lastModifiedBy>
  <cp:lastPrinted>2024-04-26T02:17:00Z</cp:lastPrinted>
  <dcterms:modified xsi:type="dcterms:W3CDTF">2024-05-08T07:01:42Z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3900DB5964E845F2B46FD2146782AEF2_13</vt:lpwstr>
  </property>
</Properties>
</file>