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B6FD">
      <w:pPr>
        <w:keepNext w:val="0"/>
        <w:keepLines w:val="0"/>
        <w:pageBreakBefore w:val="0"/>
        <w:widowControl w:val="0"/>
        <w:kinsoku/>
        <w:wordWrap/>
        <w:overflowPunct/>
        <w:topLinePunct w:val="0"/>
        <w:autoSpaceDE/>
        <w:autoSpaceDN/>
        <w:bidi w:val="0"/>
        <w:adjustRightInd/>
        <w:snapToGrid/>
        <w:spacing w:line="560" w:lineRule="exact"/>
        <w:textAlignment w:val="auto"/>
      </w:pPr>
    </w:p>
    <w:p w14:paraId="63590E63">
      <w:pPr>
        <w:pStyle w:val="2"/>
        <w:keepNext w:val="0"/>
        <w:keepLines w:val="0"/>
        <w:pageBreakBefore w:val="0"/>
        <w:widowControl w:val="0"/>
        <w:kinsoku/>
        <w:wordWrap/>
        <w:overflowPunct/>
        <w:topLinePunct w:val="0"/>
        <w:autoSpaceDE/>
        <w:autoSpaceDN/>
        <w:bidi w:val="0"/>
        <w:adjustRightInd/>
        <w:snapToGrid/>
        <w:spacing w:line="560" w:lineRule="exact"/>
        <w:ind w:left="0" w:leftChars="0" w:right="113" w:firstLine="0" w:firstLineChars="0"/>
        <w:jc w:val="both"/>
        <w:textAlignment w:val="auto"/>
        <w:rPr>
          <w:rFonts w:ascii="Times New Roman" w:hAnsi="Times New Roman" w:eastAsia="方正仿宋_GBK"/>
          <w:sz w:val="32"/>
          <w:szCs w:val="32"/>
        </w:rPr>
      </w:pPr>
    </w:p>
    <w:p w14:paraId="3F5386E3">
      <w:pPr>
        <w:keepNext w:val="0"/>
        <w:keepLines w:val="0"/>
        <w:pageBreakBefore w:val="0"/>
        <w:widowControl w:val="0"/>
        <w:kinsoku/>
        <w:wordWrap/>
        <w:overflowPunct/>
        <w:topLinePunct w:val="0"/>
        <w:autoSpaceDE/>
        <w:autoSpaceDN/>
        <w:bidi w:val="0"/>
        <w:adjustRightInd/>
        <w:snapToGrid/>
        <w:spacing w:line="540" w:lineRule="exact"/>
        <w:ind w:right="0" w:rightChars="0" w:firstLineChars="800"/>
        <w:jc w:val="right"/>
        <w:textAlignment w:val="auto"/>
        <w:rPr>
          <w:rFonts w:ascii="方正小标宋_GBK" w:hAnsi="方正小标宋_GBK" w:eastAsia="方正小标宋_GBK" w:cs="方正小标宋_GBK"/>
          <w:b/>
          <w:bCs/>
          <w:color w:val="000000" w:themeColor="text1"/>
          <w:sz w:val="28"/>
          <w:szCs w:val="28"/>
          <w14:textFill>
            <w14:solidFill>
              <w14:schemeClr w14:val="tx1"/>
            </w14:solidFill>
          </w14:textFill>
        </w:rPr>
      </w:pPr>
      <w:r>
        <w:rPr>
          <w:rFonts w:ascii="Times New Roman" w:hAnsi="Times New Roman" w:eastAsia="方正仿宋_GBK"/>
          <w:sz w:val="32"/>
          <w:szCs w:val="32"/>
        </w:rPr>
        <w:t>恩</w:t>
      </w:r>
      <w:r>
        <w:rPr>
          <w:rFonts w:hint="eastAsia" w:ascii="Times New Roman" w:hAnsi="Times New Roman" w:eastAsia="方正仿宋_GBK"/>
          <w:sz w:val="32"/>
          <w:szCs w:val="32"/>
        </w:rPr>
        <w:t>环境函</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74</w:t>
      </w:r>
      <w:r>
        <w:rPr>
          <w:rFonts w:ascii="Times New Roman" w:hAnsi="Times New Roman" w:eastAsia="方正仿宋_GBK"/>
          <w:sz w:val="32"/>
          <w:szCs w:val="32"/>
        </w:rPr>
        <w:t>号</w:t>
      </w:r>
    </w:p>
    <w:p w14:paraId="7D6607C9">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p>
    <w:p w14:paraId="4306742F">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巴中市恩阳生态环境局</w:t>
      </w:r>
    </w:p>
    <w:p w14:paraId="4D7AB3A0">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元陆179X井</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钻探工程</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环境影响报告表的批</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复</w:t>
      </w:r>
    </w:p>
    <w:p w14:paraId="6D20BEF5">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ascii="方正小标宋_GBK" w:hAnsi="方正小标宋_GBK" w:eastAsia="方正小标宋_GBK" w:cs="方正小标宋_GBK"/>
          <w:b/>
          <w:bCs/>
          <w:color w:val="000000" w:themeColor="text1"/>
          <w:sz w:val="44"/>
          <w:szCs w:val="44"/>
          <w14:textFill>
            <w14:solidFill>
              <w14:schemeClr w14:val="tx1"/>
            </w14:solidFill>
          </w14:textFill>
        </w:rPr>
      </w:pPr>
    </w:p>
    <w:p w14:paraId="79AB7F6C">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中国石油化工股份有限公司勘探分公司：</w:t>
      </w:r>
    </w:p>
    <w:p w14:paraId="171F92AB">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元陆179X井钻探工程</w:t>
      </w:r>
      <w:r>
        <w:rPr>
          <w:rFonts w:hint="default" w:ascii="Times New Roman" w:hAnsi="Times New Roman" w:eastAsia="方正仿宋_GBK" w:cs="Times New Roman"/>
          <w:color w:val="000000" w:themeColor="text1"/>
          <w:sz w:val="32"/>
          <w:szCs w:val="32"/>
          <w14:textFill>
            <w14:solidFill>
              <w14:schemeClr w14:val="tx1"/>
            </w14:solidFill>
          </w14:textFill>
        </w:rPr>
        <w:t>环境影响报告表》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以下简称《报告表》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收悉，经研究，现对《报告表》批复如下：</w:t>
      </w:r>
    </w:p>
    <w:p w14:paraId="282E9BF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textAlignment w:val="auto"/>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该</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选址于四川省巴中市恩阳区登科街道燕飞村2组</w:t>
      </w:r>
      <w:r>
        <w:rPr>
          <w:rFonts w:hint="default" w:ascii="Times New Roman" w:hAnsi="Times New Roman" w:eastAsia="方正仿宋_GBK" w:cs="Times New Roman"/>
          <w:color w:val="auto"/>
          <w:sz w:val="32"/>
          <w:szCs w:val="32"/>
          <w:lang w:val="en-US" w:eastAsia="zh-CN"/>
        </w:rPr>
        <w:t>，占地为临时用地，总用地规模20737m</w:t>
      </w:r>
      <w:r>
        <w:rPr>
          <w:rFonts w:hint="default" w:ascii="Times New Roman" w:hAnsi="Times New Roman" w:eastAsia="方正仿宋_GBK" w:cs="Times New Roman"/>
          <w:color w:val="auto"/>
          <w:sz w:val="32"/>
          <w:szCs w:val="32"/>
          <w:vertAlign w:val="superscript"/>
          <w:lang w:val="en-US" w:eastAsia="zh-CN"/>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新建天然气勘探井1口，设计井深：斜深5050m，垂深4870.64m。井别为评价井，井型为定向井，导管采用清水钻进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开钻井时使用气体钻，二开采用钻井液钻井时使用聚合物钻井液，三开和四开井段使用复合盐润滑封堵防塌钻井液。新建放喷池2座，场内主要有方井1座，井架基础、联合基础、泥浆泵基础、循环罐基础、储备罐基础、泥浆不落地基础、发电机房及基础、材料棚基础等；井场周边设置井场边沟，井场内设置排污沟，边坡设置截水、排水沟；场外设置进场道路，表土、弃土场、生活营地。项目总投资12200万元，环保投资384万元，环保投资占总投资比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3.15</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731D7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方正仿宋_GBK" w:cs="Times New Roman"/>
          <w:color w:val="auto"/>
          <w:sz w:val="32"/>
          <w:szCs w:val="32"/>
          <w:lang w:val="en-US" w:eastAsia="zh-CN"/>
        </w:rPr>
        <w:sectPr>
          <w:pgSz w:w="11906" w:h="16838"/>
          <w:pgMar w:top="1814" w:right="1474" w:bottom="1984" w:left="1587" w:header="851" w:footer="992" w:gutter="0"/>
          <w:pgNumType w:fmt="decimal"/>
          <w:cols w:space="425" w:num="1"/>
          <w:docGrid w:type="lines" w:linePitch="312" w:charSpace="0"/>
        </w:sect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该项目属于《产业结构调整指导目录（</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2024</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年本）》</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中鼓励类，</w:t>
      </w:r>
      <w:r>
        <w:rPr>
          <w:rFonts w:hint="default" w:ascii="Times New Roman" w:hAnsi="Times New Roman" w:eastAsia="方正仿宋_GBK" w:cs="Times New Roman"/>
          <w:sz w:val="32"/>
          <w:szCs w:val="32"/>
        </w:rPr>
        <w:t>符合国家现行产业政策；</w:t>
      </w:r>
      <w:r>
        <w:rPr>
          <w:rFonts w:hint="default" w:ascii="Times New Roman" w:hAnsi="Times New Roman" w:eastAsia="方正仿宋_GBK" w:cs="Times New Roman"/>
          <w:color w:val="auto"/>
          <w:sz w:val="32"/>
          <w:szCs w:val="32"/>
        </w:rPr>
        <w:t>巴中市自然资源和规划局恩阳分</w:t>
      </w:r>
      <w:r>
        <w:rPr>
          <w:rFonts w:hint="eastAsia" w:ascii="Times New Roman" w:hAnsi="Times New Roman" w:eastAsia="方正仿宋_GBK" w:cs="Times New Roman"/>
          <w:color w:val="auto"/>
          <w:sz w:val="32"/>
          <w:szCs w:val="32"/>
          <w:lang w:val="en-US" w:eastAsia="zh-CN"/>
        </w:rPr>
        <w:t>局</w:t>
      </w:r>
    </w:p>
    <w:p w14:paraId="66C3D6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出具</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pacing w:val="6"/>
          <w:sz w:val="32"/>
          <w:szCs w:val="32"/>
        </w:rPr>
        <w:t>《关于核实元陆179X井钻探工程选址情况的复函》</w:t>
      </w:r>
      <w:r>
        <w:rPr>
          <w:rFonts w:hint="default" w:ascii="Times New Roman" w:hAnsi="Times New Roman" w:eastAsia="方正仿宋_GBK" w:cs="Times New Roman"/>
          <w:color w:val="auto"/>
          <w:sz w:val="32"/>
          <w:szCs w:val="32"/>
        </w:rPr>
        <w:t>。</w:t>
      </w:r>
    </w:p>
    <w:p w14:paraId="7E18191B">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如你公司全面落实《报告表》提出的各项环境保护对策措施和本批复的要求，项目建设对环境的不利影响能够得到缓解和控制。我局原则同意《报告表》结论。</w:t>
      </w:r>
    </w:p>
    <w:p w14:paraId="0065096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项目建设和竣工后应重点做好以下工作</w:t>
      </w:r>
      <w:r>
        <w:rPr>
          <w:rFonts w:hint="eastAsia" w:ascii="Times New Roman" w:hAnsi="Times New Roman" w:eastAsia="方正仿宋_GBK" w:cs="Times New Roman"/>
          <w:sz w:val="32"/>
          <w:szCs w:val="32"/>
          <w:lang w:eastAsia="zh-CN"/>
        </w:rPr>
        <w:t>：</w:t>
      </w:r>
    </w:p>
    <w:p w14:paraId="7B4D116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color w:val="C00000"/>
          <w:sz w:val="32"/>
          <w:szCs w:val="32"/>
        </w:rPr>
      </w:pPr>
      <w:r>
        <w:rPr>
          <w:rFonts w:hint="eastAsia" w:ascii="方正楷体_GBK" w:hAnsi="方正楷体_GBK" w:eastAsia="方正楷体_GBK" w:cs="方正楷体_GBK"/>
          <w:sz w:val="32"/>
          <w:szCs w:val="32"/>
          <w:lang w:eastAsia="zh-CN"/>
        </w:rPr>
        <w:t>（一）</w:t>
      </w:r>
      <w:r>
        <w:rPr>
          <w:rFonts w:hint="default" w:ascii="Times New Roman" w:hAnsi="Times New Roman" w:eastAsia="方正仿宋_GBK" w:cs="Times New Roman"/>
          <w:sz w:val="32"/>
          <w:szCs w:val="32"/>
        </w:rPr>
        <w:t>根据项目特点优化工程设计、施工方案和井场设备分区设置，建立健全企业内部环境管理规章制度，强化</w:t>
      </w:r>
      <w:r>
        <w:rPr>
          <w:rFonts w:hint="default" w:ascii="Times New Roman" w:hAnsi="Times New Roman" w:eastAsia="方正仿宋_GBK" w:cs="Times New Roman"/>
          <w:color w:val="auto"/>
          <w:sz w:val="32"/>
          <w:szCs w:val="32"/>
        </w:rPr>
        <w:t>钻探工程全</w:t>
      </w:r>
      <w:r>
        <w:rPr>
          <w:rFonts w:hint="default" w:ascii="Times New Roman" w:hAnsi="Times New Roman" w:eastAsia="方正仿宋_GBK" w:cs="Times New Roman"/>
          <w:sz w:val="32"/>
          <w:szCs w:val="32"/>
        </w:rPr>
        <w:t>过程的环境管理，全面、及时落实各项环保措施，有效控制和减小项目对周围环境的影响。避免因管理不善、违章操作等人为因素造成环境污染事故和纠纷。</w:t>
      </w:r>
    </w:p>
    <w:p w14:paraId="2621960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落实好</w:t>
      </w:r>
      <w:r>
        <w:rPr>
          <w:rFonts w:hint="eastAsia" w:ascii="方正楷体_GBK" w:hAnsi="方正楷体_GBK" w:eastAsia="方正楷体_GBK" w:cs="方正楷体_GBK"/>
          <w:sz w:val="32"/>
          <w:szCs w:val="32"/>
          <w:lang w:val="en-US" w:eastAsia="zh-CN"/>
        </w:rPr>
        <w:t>废水污染防治措施。</w:t>
      </w:r>
      <w:r>
        <w:rPr>
          <w:rFonts w:hint="eastAsia" w:ascii="方正仿宋_GBK" w:hAnsi="方正仿宋_GBK" w:eastAsia="方正仿宋_GBK" w:cs="方正仿宋_GBK"/>
          <w:sz w:val="32"/>
          <w:szCs w:val="32"/>
          <w:lang w:val="en-US" w:eastAsia="zh-CN"/>
        </w:rPr>
        <w:t>钻前施工期废水，经沉淀处理后回用于场地洒水抑尘，不外排；生活污水通过环保厕所收集后运至巴中市恩阳区城市生活污水处理厂进行处理。项目钻井废水经现场处理后大部分回用于水基泥浆的配制，最终剩余部分钻井废水和洗井废水、井场雨水用于平台后期配制压裂液；压裂作业期间产生的压裂返排液贮存于已做防渗处理的放喷池中，由项目部进行转运至四川鑫泓钻井废水有限公司进行处理；生活污水通过环保厕所收集后，定期将环保厕所的生活污水转运至巴中市恩阳区城市生活污水处理厂进行处理</w:t>
      </w:r>
      <w:r>
        <w:rPr>
          <w:rFonts w:hint="eastAsia" w:ascii="Times New Roman" w:hAnsi="Times New Roman" w:eastAsia="方正仿宋_GBK" w:cs="Times New Roman"/>
          <w:sz w:val="32"/>
          <w:szCs w:val="32"/>
          <w:lang w:val="en-US" w:eastAsia="zh-CN"/>
        </w:rPr>
        <w:t>。</w:t>
      </w:r>
    </w:p>
    <w:p w14:paraId="33DFAB4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落实好</w:t>
      </w:r>
      <w:r>
        <w:rPr>
          <w:rFonts w:hint="eastAsia" w:ascii="方正楷体_GBK" w:hAnsi="方正楷体_GBK" w:eastAsia="方正楷体_GBK" w:cs="方正楷体_GBK"/>
          <w:sz w:val="32"/>
          <w:szCs w:val="32"/>
          <w:lang w:val="en-US" w:eastAsia="zh-CN"/>
        </w:rPr>
        <w:t>废气</w:t>
      </w:r>
      <w:r>
        <w:rPr>
          <w:rFonts w:hint="eastAsia" w:ascii="方正楷体_GBK" w:hAnsi="方正楷体_GBK" w:eastAsia="方正楷体_GBK" w:cs="方正楷体_GBK"/>
          <w:sz w:val="32"/>
          <w:szCs w:val="32"/>
        </w:rPr>
        <w:t>污染</w:t>
      </w:r>
      <w:r>
        <w:rPr>
          <w:rFonts w:hint="eastAsia" w:ascii="方正楷体_GBK" w:hAnsi="方正楷体_GBK" w:eastAsia="方正楷体_GBK" w:cs="方正楷体_GBK"/>
          <w:sz w:val="32"/>
          <w:szCs w:val="32"/>
          <w:lang w:eastAsia="zh-CN"/>
        </w:rPr>
        <w:t>防治</w:t>
      </w:r>
      <w:r>
        <w:rPr>
          <w:rFonts w:hint="eastAsia" w:ascii="方正楷体_GBK" w:hAnsi="方正楷体_GBK" w:eastAsia="方正楷体_GBK" w:cs="方正楷体_GBK"/>
          <w:sz w:val="32"/>
          <w:szCs w:val="32"/>
        </w:rPr>
        <w:t>措施</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项目建筑工地扬尘治理做到“六必须”“七不准”；场地清理、土方挖掘、材料运输等工序产生的扬尘，采取裸露覆盖、物料覆盖、洒水降尘、地面硬化等防尘措施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钻井施工期气体钻扬尘通过向排砂管内加水降尘，以降低粉尘排放量；测试放喷废气主要采用地面灼烧处理，采用短火焰灼烧器，修建放喷池及挡墙减少辐射影响；柴油发电机组燃烧排放废气通过自带的尾气处理系统处理后排放。</w:t>
      </w:r>
    </w:p>
    <w:p w14:paraId="39AD73E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（四）落实好</w:t>
      </w:r>
      <w:r>
        <w:rPr>
          <w:rFonts w:hint="eastAsia" w:ascii="方正楷体_GBK" w:hAnsi="方正楷体_GBK" w:eastAsia="方正楷体_GBK" w:cs="方正楷体_GBK"/>
          <w:b w:val="0"/>
          <w:bCs w:val="0"/>
          <w:sz w:val="32"/>
          <w:szCs w:val="32"/>
          <w:lang w:val="en-US" w:eastAsia="zh-CN"/>
        </w:rPr>
        <w:t>固体废物污染防治措施。</w:t>
      </w:r>
      <w:r>
        <w:rPr>
          <w:rFonts w:hint="eastAsia" w:ascii="方正仿宋_GBK" w:hAnsi="方正仿宋_GBK" w:eastAsia="方正仿宋_GBK" w:cs="方正仿宋_GBK"/>
          <w:b w:val="0"/>
          <w:bCs w:val="0"/>
          <w:sz w:val="32"/>
          <w:szCs w:val="32"/>
          <w:lang w:val="en-US" w:eastAsia="zh-CN"/>
        </w:rPr>
        <w:t>钻前施工期项目场平过程剥离的表土临时堆放于堆土场内，后期用于场地生态恢复覆土使用，弃土场使用完毕后进行生态恢复。施工人员生活垃圾设置垃圾箱收集，交当地环卫部门（登科街道环卫）处置；建筑垃圾编制处置方案报当地环卫部门备案，并妥善处置。钻井施工期项目水基钻井岩屑、废钻井泥浆、沉淀污泥暂存岩屑暂存罐，由本项目项目部转运至有处理资质的机构综合利用；废油及含油污染物作为危险废物收集后，交有危废处置资质的单位处置；生活垃圾外运登科街道环卫集中收集；废包装材料收集后交由废品收购站处置</w:t>
      </w:r>
      <w:r>
        <w:rPr>
          <w:rFonts w:hint="eastAsia" w:ascii="方正仿宋_GBK" w:hAnsi="方正仿宋_GBK" w:eastAsia="方正仿宋_GBK" w:cs="方正仿宋_GBK"/>
          <w:sz w:val="32"/>
          <w:szCs w:val="32"/>
        </w:rPr>
        <w:t>。</w:t>
      </w:r>
    </w:p>
    <w:p w14:paraId="05B314D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color w:val="auto"/>
          <w:sz w:val="32"/>
          <w:szCs w:val="32"/>
          <w:lang w:val="en-US"/>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lang w:val="en-US" w:eastAsia="zh-CN"/>
        </w:rPr>
        <w:t>落实</w:t>
      </w:r>
      <w:r>
        <w:rPr>
          <w:rFonts w:hint="eastAsia" w:ascii="方正楷体_GBK" w:hAnsi="方正楷体_GBK" w:eastAsia="方正楷体_GBK" w:cs="方正楷体_GBK"/>
          <w:sz w:val="32"/>
          <w:szCs w:val="32"/>
        </w:rPr>
        <w:t>噪声污染</w:t>
      </w:r>
      <w:r>
        <w:rPr>
          <w:rFonts w:hint="eastAsia" w:ascii="方正楷体_GBK" w:hAnsi="方正楷体_GBK" w:eastAsia="方正楷体_GBK" w:cs="方正楷体_GBK"/>
          <w:sz w:val="32"/>
          <w:szCs w:val="32"/>
          <w:lang w:val="en-US" w:eastAsia="zh-CN"/>
        </w:rPr>
        <w:t>防治措施</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钻前施工期采取白天施工，夜间不施工模式，减少对周边农户带来的影响。钻井施工期选用低噪声设备和对井场布局来减轻噪声的影响，对噪声源采取噪声防治措施，设备安装减震垫、消声器等措施：泥浆泵加衬弹性垫料和安装消声装置以达到减噪目的。同时项目对噪声影响较大的农户可通过临时撤离、加强沟通协调等方式减少对周边农户带来的影响。</w:t>
      </w:r>
    </w:p>
    <w:p w14:paraId="1C48202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加强项目环境风险防控。</w:t>
      </w:r>
      <w:r>
        <w:rPr>
          <w:rFonts w:hint="default" w:ascii="Times New Roman" w:hAnsi="Times New Roman" w:eastAsia="方正仿宋_GBK" w:cs="Times New Roman"/>
          <w:sz w:val="32"/>
          <w:szCs w:val="32"/>
        </w:rPr>
        <w:t>严格落实报告表中提出的环境风险防范措施，</w:t>
      </w:r>
      <w:r>
        <w:rPr>
          <w:rFonts w:hint="eastAsia" w:ascii="Times New Roman" w:hAnsi="Times New Roman" w:eastAsia="方正仿宋_GBK" w:cs="Times New Roman"/>
          <w:sz w:val="32"/>
          <w:szCs w:val="32"/>
          <w:lang w:val="en-US" w:eastAsia="zh-CN"/>
        </w:rPr>
        <w:t>适时</w:t>
      </w:r>
      <w:r>
        <w:rPr>
          <w:rFonts w:hint="default" w:ascii="Times New Roman" w:hAnsi="Times New Roman" w:eastAsia="方正仿宋_GBK" w:cs="Times New Roman"/>
          <w:sz w:val="32"/>
          <w:szCs w:val="32"/>
        </w:rPr>
        <w:t>调整和完善应急预案。落实安全生产责任制，要切实防止废水泄漏外溢</w:t>
      </w:r>
      <w:r>
        <w:rPr>
          <w:rFonts w:hint="default" w:ascii="Times New Roman" w:hAnsi="Times New Roman" w:eastAsia="方正仿宋_GBK" w:cs="Times New Roman"/>
          <w:color w:val="auto"/>
          <w:sz w:val="32"/>
          <w:szCs w:val="32"/>
        </w:rPr>
        <w:t>和井喷</w:t>
      </w:r>
      <w:r>
        <w:rPr>
          <w:rFonts w:hint="default" w:ascii="Times New Roman" w:hAnsi="Times New Roman" w:eastAsia="方正仿宋_GBK" w:cs="Times New Roman"/>
          <w:sz w:val="32"/>
          <w:szCs w:val="32"/>
        </w:rPr>
        <w:t>事故的出现。一旦发生环境污染事故，应立即停止钻井并启动应急预案。落实岗位环保责任制，确保项目各类污染治理设施正常运行，污染物稳定达标排放。</w:t>
      </w:r>
    </w:p>
    <w:p w14:paraId="3E006BE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加强对项目区生态植被保护，防止水土流失。</w:t>
      </w:r>
      <w:r>
        <w:rPr>
          <w:rFonts w:hint="default" w:ascii="Times New Roman" w:hAnsi="Times New Roman" w:eastAsia="方正仿宋_GBK" w:cs="Times New Roman"/>
          <w:sz w:val="32"/>
          <w:szCs w:val="32"/>
        </w:rPr>
        <w:t>项目结束后及时拆除设施，对临时占地迹地进行植被恢复和复垦，减缓项目带来的生态影响。若完井测试结果若表明该井不产油气或无工业开采价值，</w:t>
      </w:r>
      <w:r>
        <w:rPr>
          <w:rFonts w:hint="eastAsia"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rPr>
        <w:t>严格落实封堵措施，将井筒用水泥封固并进行完井后的完井设备搬迁工作，将井场恢复。</w:t>
      </w:r>
    </w:p>
    <w:p w14:paraId="7E726EAC">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w:t>
      </w:r>
      <w:r>
        <w:rPr>
          <w:rFonts w:hint="default" w:ascii="Times New Roman" w:hAnsi="Times New Roman" w:eastAsia="方正仿宋_GBK" w:cs="Times New Roman"/>
          <w:color w:val="000000"/>
          <w:kern w:val="0"/>
          <w:sz w:val="32"/>
          <w:szCs w:val="32"/>
          <w:lang w:val="en-US" w:eastAsia="zh-CN" w:bidi="ar"/>
        </w:rPr>
        <w:t>项目应依法完备其他行政许可手续</w:t>
      </w:r>
      <w:r>
        <w:rPr>
          <w:rFonts w:hint="eastAsia" w:ascii="Times New Roman" w:hAnsi="Times New Roman" w:eastAsia="方正仿宋_GBK" w:cs="Times New Roman"/>
          <w:color w:val="000000"/>
          <w:kern w:val="0"/>
          <w:sz w:val="32"/>
          <w:szCs w:val="32"/>
          <w:lang w:val="en-US" w:eastAsia="zh-CN" w:bidi="ar"/>
        </w:rPr>
        <w:t>。</w:t>
      </w:r>
    </w:p>
    <w:p w14:paraId="7829B371">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Times New Roman" w:hAnsi="Times New Roman" w:eastAsia="方正仿宋_GBK" w:cs="Times New Roman"/>
          <w:sz w:val="32"/>
          <w:szCs w:val="32"/>
          <w:lang w:val="en-US" w:eastAsia="zh-CN"/>
        </w:rPr>
        <w:t>项目竣工后，你单位是建设项目竣工环境保护验收的责任主体，应当按照规定的程序和标准，组织验收，公开相关信息，接受社会监督。</w:t>
      </w:r>
    </w:p>
    <w:p w14:paraId="44FA06F9">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环境影响评价文件经批准后，建设项目的性质、规模、地点、采用的生产工艺或者防治污染、防止生态破坏的措施发生重大变动的，建设单位应当重新报批环境影响评价文件，否则不得实施建设。建设项目的环评批复文件自批准之日起，超过5年未开工建设，环境影响评价文件应当重新审核。</w:t>
      </w:r>
    </w:p>
    <w:p w14:paraId="22E7FF0A">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Times New Roman" w:hAnsi="Times New Roman" w:eastAsia="方正仿宋_GBK" w:cs="Times New Roman"/>
          <w:sz w:val="32"/>
          <w:szCs w:val="32"/>
          <w:lang w:val="en-US" w:eastAsia="zh-CN"/>
        </w:rPr>
        <w:t>请巴中市生态环境保护综合行政执法支队恩阳大队开展该项目的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三同时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监督检查和日常监督管理工作。</w:t>
      </w:r>
    </w:p>
    <w:p w14:paraId="0981A8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rPr>
          <w:rFonts w:hint="eastAsia" w:ascii="Times New Roman" w:hAnsi="Times New Roman" w:eastAsia="方正仿宋_GBK" w:cs="Times New Roman"/>
          <w:color w:val="000000"/>
          <w:kern w:val="0"/>
          <w:sz w:val="32"/>
          <w:szCs w:val="32"/>
          <w:lang w:val="en-US" w:eastAsia="zh-CN" w:bidi="ar"/>
        </w:rPr>
      </w:pPr>
    </w:p>
    <w:p w14:paraId="3ED32E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rPr>
          <w:rFonts w:hint="eastAsia" w:ascii="Times New Roman" w:hAnsi="Times New Roman" w:eastAsia="方正仿宋_GBK" w:cs="Times New Roman"/>
          <w:color w:val="000000"/>
          <w:kern w:val="0"/>
          <w:sz w:val="32"/>
          <w:szCs w:val="32"/>
          <w:lang w:val="en-US" w:eastAsia="zh-CN" w:bidi="ar"/>
        </w:rPr>
      </w:pPr>
    </w:p>
    <w:p w14:paraId="6BD4C8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0" w:firstLineChars="1500"/>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巴中市恩阳生态环境</w:t>
      </w:r>
      <w:r>
        <w:rPr>
          <w:rFonts w:hint="eastAsia" w:ascii="Times New Roman" w:hAnsi="Times New Roman" w:eastAsia="方正仿宋_GBK" w:cs="Times New Roman"/>
          <w:color w:val="000000"/>
          <w:kern w:val="0"/>
          <w:sz w:val="32"/>
          <w:szCs w:val="32"/>
          <w:lang w:val="en-US" w:eastAsia="zh-CN" w:bidi="ar"/>
        </w:rPr>
        <w:t>局</w:t>
      </w:r>
    </w:p>
    <w:p w14:paraId="5D60DAF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sz w:val="32"/>
          <w:szCs w:val="32"/>
        </w:rPr>
        <w:t>202</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年</w:t>
      </w:r>
      <w:r>
        <w:rPr>
          <w:rFonts w:hint="eastAsia" w:ascii="Times New Roman" w:hAnsi="Times New Roman" w:eastAsia="方正仿宋_GBK" w:cs="Times New Roman"/>
          <w:b w:val="0"/>
          <w:bCs/>
          <w:sz w:val="32"/>
          <w:szCs w:val="32"/>
          <w:lang w:val="en-US" w:eastAsia="zh-CN"/>
        </w:rPr>
        <w:t>11</w:t>
      </w:r>
      <w:r>
        <w:rPr>
          <w:rFonts w:hint="default" w:ascii="Times New Roman" w:hAnsi="Times New Roman" w:eastAsia="方正仿宋_GBK" w:cs="Times New Roman"/>
          <w:b w:val="0"/>
          <w:bCs/>
          <w:sz w:val="32"/>
          <w:szCs w:val="32"/>
        </w:rPr>
        <w:t>月</w:t>
      </w:r>
      <w:r>
        <w:rPr>
          <w:rFonts w:hint="eastAsia" w:ascii="Times New Roman" w:hAnsi="Times New Roman" w:eastAsia="方正仿宋_GBK" w:cs="Times New Roman"/>
          <w:b w:val="0"/>
          <w:bCs/>
          <w:sz w:val="32"/>
          <w:szCs w:val="32"/>
          <w:lang w:val="en-US" w:eastAsia="zh-CN"/>
        </w:rPr>
        <w:t>27日</w:t>
      </w:r>
    </w:p>
    <w:p w14:paraId="3528E93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imes New Roman" w:hAnsi="Times New Roman" w:eastAsia="方正仿宋_GBK" w:cs="Times New Roman"/>
          <w:b w:val="0"/>
          <w:bCs/>
          <w:sz w:val="32"/>
          <w:szCs w:val="32"/>
          <w:lang w:val="en-US" w:eastAsia="zh-CN"/>
        </w:rPr>
      </w:pPr>
    </w:p>
    <w:tbl>
      <w:tblPr>
        <w:tblStyle w:val="6"/>
        <w:tblpPr w:leftFromText="180" w:rightFromText="180" w:vertAnchor="text" w:horzAnchor="page" w:tblpX="1572" w:tblpY="30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14:paraId="1B8A168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14:paraId="379227FC">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Times New Roman" w:hAnsi="Times New Roman" w:eastAsia="方正仿宋_GBK" w:cs="Times New Roman"/>
                <w:b w:val="0"/>
                <w:bCs/>
                <w:sz w:val="32"/>
                <w:szCs w:val="32"/>
                <w:vertAlign w:val="baseline"/>
                <w:lang w:val="en-US" w:eastAsia="zh-CN"/>
              </w:rPr>
            </w:pPr>
            <w:r>
              <w:rPr>
                <w:rFonts w:ascii="Times New Roman" w:hAnsi="Times New Roman" w:eastAsia="方正仿宋_GBK" w:cs="Times New Roman"/>
                <w:sz w:val="28"/>
                <w:szCs w:val="28"/>
              </w:rPr>
              <w:t>抄送：</w:t>
            </w:r>
            <w:r>
              <w:rPr>
                <w:rFonts w:hint="eastAsia" w:ascii="Times New Roman" w:hAnsi="Times New Roman" w:eastAsia="方正仿宋_GBK" w:cs="Times New Roman"/>
                <w:sz w:val="28"/>
                <w:szCs w:val="28"/>
              </w:rPr>
              <w:t>区发改局、区经信局、区自规</w:t>
            </w:r>
            <w:r>
              <w:rPr>
                <w:rFonts w:hint="eastAsia" w:ascii="Times New Roman" w:hAnsi="Times New Roman" w:eastAsia="方正仿宋_GBK" w:cs="Times New Roman"/>
                <w:sz w:val="28"/>
                <w:szCs w:val="28"/>
                <w:lang w:val="en-US" w:eastAsia="zh-CN"/>
              </w:rPr>
              <w:t>分</w:t>
            </w:r>
            <w:r>
              <w:rPr>
                <w:rFonts w:hint="eastAsia" w:ascii="Times New Roman" w:hAnsi="Times New Roman" w:eastAsia="方正仿宋_GBK" w:cs="Times New Roman"/>
                <w:sz w:val="28"/>
                <w:szCs w:val="28"/>
              </w:rPr>
              <w:t>局、</w:t>
            </w:r>
            <w:r>
              <w:rPr>
                <w:rFonts w:hint="eastAsia" w:ascii="Times New Roman" w:hAnsi="Times New Roman" w:eastAsia="方正仿宋_GBK" w:cs="Times New Roman"/>
                <w:sz w:val="28"/>
                <w:szCs w:val="28"/>
                <w:lang w:val="en-US" w:eastAsia="zh-CN"/>
              </w:rPr>
              <w:t>登科街道办事处</w:t>
            </w:r>
            <w:r>
              <w:rPr>
                <w:rFonts w:hint="eastAsia" w:ascii="Times New Roman" w:hAnsi="Times New Roman" w:eastAsia="方正仿宋_GBK" w:cs="Times New Roman"/>
                <w:sz w:val="28"/>
                <w:szCs w:val="28"/>
                <w:lang w:eastAsia="zh-CN"/>
              </w:rPr>
              <w:t>。</w:t>
            </w:r>
          </w:p>
        </w:tc>
      </w:tr>
      <w:tr w14:paraId="34E3C73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vAlign w:val="center"/>
          </w:tcPr>
          <w:p w14:paraId="0B79F1BD">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default" w:ascii="Times New Roman" w:hAnsi="Times New Roman" w:eastAsia="方正仿宋_GBK" w:cs="Times New Roman"/>
                <w:b w:val="0"/>
                <w:bCs/>
                <w:sz w:val="32"/>
                <w:szCs w:val="32"/>
                <w:vertAlign w:val="baseline"/>
                <w:lang w:val="en-US" w:eastAsia="zh-CN"/>
              </w:rPr>
            </w:pPr>
            <w:r>
              <w:rPr>
                <w:rFonts w:ascii="Times New Roman" w:hAnsi="Times New Roman" w:eastAsia="方正仿宋_GBK" w:cs="Times New Roman"/>
                <w:sz w:val="28"/>
                <w:szCs w:val="28"/>
              </w:rPr>
              <w:t>巴中市恩阳生态环境局</w:t>
            </w:r>
            <w:r>
              <w:rPr>
                <w:rFonts w:hint="eastAsia" w:ascii="Times New Roman" w:hAnsi="Times New Roman" w:eastAsia="方正仿宋_GBK" w:cs="Times New Roman"/>
                <w:sz w:val="28"/>
                <w:szCs w:val="28"/>
                <w:lang w:val="en-US" w:eastAsia="zh-CN"/>
              </w:rPr>
              <w:t>办公室</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11月27日印发</w:t>
            </w:r>
          </w:p>
        </w:tc>
      </w:tr>
    </w:tbl>
    <w:p w14:paraId="0EAB305E">
      <w:pPr>
        <w:keepNext w:val="0"/>
        <w:keepLines w:val="0"/>
        <w:pageBreakBefore w:val="0"/>
        <w:widowControl w:val="0"/>
        <w:kinsoku/>
        <w:wordWrap/>
        <w:overflowPunct/>
        <w:topLinePunct w:val="0"/>
        <w:autoSpaceDE/>
        <w:autoSpaceDN/>
        <w:bidi w:val="0"/>
        <w:adjustRightInd/>
        <w:snapToGrid/>
        <w:spacing w:line="20" w:lineRule="exact"/>
        <w:ind w:firstLine="272" w:firstLineChars="0"/>
        <w:textAlignment w:val="auto"/>
        <w:rPr>
          <w:rFonts w:hint="default"/>
          <w:lang w:val="en-US"/>
        </w:rPr>
      </w:pPr>
      <w:bookmarkStart w:id="0" w:name="_GoBack"/>
      <w:bookmarkEnd w:id="0"/>
    </w:p>
    <w:sectPr>
      <w:footerReference r:id="rId3" w:type="default"/>
      <w:pgSz w:w="11906" w:h="16838"/>
      <w:pgMar w:top="1814"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81BDB43-DADC-4AE4-9D6B-A32DFB9EB672}"/>
  </w:font>
  <w:font w:name="方正仿宋_GBK">
    <w:panose1 w:val="03000509000000000000"/>
    <w:charset w:val="86"/>
    <w:family w:val="script"/>
    <w:pitch w:val="default"/>
    <w:sig w:usb0="00000001" w:usb1="080E0000" w:usb2="00000000" w:usb3="00000000" w:csb0="00040000" w:csb1="00000000"/>
    <w:embedRegular r:id="rId2" w:fontKey="{1AAA9A89-8A18-4F71-9DA5-05583DCC9C2C}"/>
  </w:font>
  <w:font w:name="方正小标宋_GBK">
    <w:panose1 w:val="02000000000000000000"/>
    <w:charset w:val="86"/>
    <w:family w:val="auto"/>
    <w:pitch w:val="default"/>
    <w:sig w:usb0="00000001" w:usb1="080E0000" w:usb2="00000000" w:usb3="00000000" w:csb0="00040000" w:csb1="00000000"/>
    <w:embedRegular r:id="rId3" w:fontKey="{2ED4393E-E717-4E9D-90E0-B88DE2F7FDEA}"/>
  </w:font>
  <w:font w:name="方正黑体_GBK">
    <w:panose1 w:val="03000509000000000000"/>
    <w:charset w:val="86"/>
    <w:family w:val="auto"/>
    <w:pitch w:val="default"/>
    <w:sig w:usb0="00000001" w:usb1="080E0000" w:usb2="00000000" w:usb3="00000000" w:csb0="00040000" w:csb1="00000000"/>
    <w:embedRegular r:id="rId4" w:fontKey="{9D9F0EEB-4348-4D53-A06E-03705BB28F7C}"/>
  </w:font>
  <w:font w:name="方正楷体_GBK">
    <w:panose1 w:val="03000509000000000000"/>
    <w:charset w:val="86"/>
    <w:family w:val="auto"/>
    <w:pitch w:val="default"/>
    <w:sig w:usb0="00000001" w:usb1="080E0000" w:usb2="00000000" w:usb3="00000000" w:csb0="00040000" w:csb1="00000000"/>
    <w:embedRegular r:id="rId5" w:fontKey="{F43C07BB-3674-4C69-8D3B-1A2693A0853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152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-401955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2D8B">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65pt;height:144pt;width:144pt;mso-position-horizontal:outside;mso-position-horizontal-relative:margin;mso-wrap-style:none;z-index:251659264;mso-width-relative:page;mso-height-relative:page;" filled="f" stroked="f" coordsize="21600,21600" o:gfxdata="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tKn8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14:paraId="35982D8B">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A7439"/>
    <w:multiLevelType w:val="singleLevel"/>
    <w:tmpl w:val="E85A7439"/>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2EwNDUyMGFiMjFkYzcxYjA3ZDU3YjhlZjVhY2IifQ=="/>
  </w:docVars>
  <w:rsids>
    <w:rsidRoot w:val="51F51D95"/>
    <w:rsid w:val="09DE054C"/>
    <w:rsid w:val="1ED67B53"/>
    <w:rsid w:val="4C4F0A68"/>
    <w:rsid w:val="51E7158B"/>
    <w:rsid w:val="51F51D95"/>
    <w:rsid w:val="5F6D7F43"/>
    <w:rsid w:val="73D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qFormat/>
    <w:uiPriority w:val="0"/>
    <w:pPr>
      <w:widowControl w:val="0"/>
      <w:spacing w:line="320" w:lineRule="exact"/>
      <w:ind w:left="113" w:right="113"/>
      <w:jc w:val="center"/>
    </w:pPr>
    <w:rPr>
      <w:rFonts w:asciiTheme="minorHAnsi" w:hAnsiTheme="minorHAnsi" w:eastAsiaTheme="minorEastAsia" w:cstheme="minorBidi"/>
      <w:b/>
      <w:kern w:val="2"/>
      <w:sz w:val="13"/>
      <w:szCs w:val="15"/>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2130</Words>
  <Characters>2183</Characters>
  <Lines>0</Lines>
  <Paragraphs>0</Paragraphs>
  <TotalTime>27</TotalTime>
  <ScaleCrop>false</ScaleCrop>
  <LinksUpToDate>false</LinksUpToDate>
  <CharactersWithSpaces>2224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2024-11-28T02:29:00Z</dcterms:created>
  <dc:creator>Administrator</dc:creator>
  <cp:lastModifiedBy>Administrator</cp:lastModifiedBy>
  <dcterms:modified xsi:type="dcterms:W3CDTF">2024-11-28T03:28:28Z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A38B295C41674BA99BB535DF24AC169C_11</vt:lpwstr>
  </property>
</Properties>
</file>