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ascii="Times New Roman" w:eastAsia="方正小标宋简体" w:cs="Times New Roman" w:hAnsi="Times New Roman"/>
          <w:color w:val="auto"/>
          <w:spacing w:val="6"/>
          <w:sz w:val="44"/>
          <w:szCs w:val="44"/>
        </w:rPr>
      </w:pPr>
      <w:r>
        <w:rPr>
          <w:rFonts w:ascii="Times New Roman" w:eastAsia="方正小标宋简体" w:cs="Times New Roman" w:hAnsi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ascii="Times New Roman" w:eastAsia="方正小标宋简体" w:cs="Times New Roman" w:hAnsi="Times New Roman" w:hint="eastAsia"/>
          <w:color w:val="auto"/>
          <w:spacing w:val="6"/>
          <w:sz w:val="44"/>
          <w:szCs w:val="44"/>
          <w:lang w:eastAsia="zh-CN"/>
        </w:rPr>
        <w:t>结果</w:t>
      </w:r>
      <w:r>
        <w:rPr>
          <w:rFonts w:ascii="Times New Roman" w:eastAsia="方正小标宋简体" w:cs="Times New Roman" w:hAnsi="Times New Roman"/>
          <w:color w:val="auto"/>
          <w:spacing w:val="6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简体" w:cs="Times New Roman" w:hAnsi="Times New Roman"/>
          <w:color w:val="auto"/>
          <w:spacing w:val="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简体" w:cs="Times New Roman" w:hAnsi="Times New Roman"/>
          <w:b w:val="0"/>
          <w:bCs w:val="0"/>
          <w:color w:val="auto"/>
          <w:spacing w:val="6"/>
          <w:lang w:val="en-US" w:eastAsia="zh-CN"/>
        </w:rPr>
      </w:pPr>
      <w:r>
        <w:rPr>
          <w:rFonts w:ascii="方正黑体_GBK" w:eastAsia="方正黑体_GBK" w:cs="方正黑体_GBK" w:hint="eastAsia"/>
          <w:b w:val="0"/>
          <w:bCs w:val="0"/>
          <w:color w:val="auto"/>
          <w:spacing w:val="6"/>
          <w:lang w:eastAsia="zh-CN"/>
        </w:rPr>
        <w:t>考核指标名称：</w:t>
      </w:r>
      <w:r>
        <w:rPr>
          <w:rFonts w:ascii="方正黑体_GBK" w:eastAsia="方正黑体_GBK" w:cs="方正黑体_GBK"/>
          <w:b w:val="0"/>
          <w:bCs w:val="0"/>
          <w:color w:val="auto"/>
          <w:spacing w:val="6"/>
          <w:lang w:eastAsia="zh-CN"/>
        </w:rPr>
        <w:t>政府效能工作</w:t>
      </w:r>
      <w:r>
        <w:rPr>
          <w:rFonts w:ascii="Times New Roman" w:eastAsia="方正仿宋_GBK" w:cs="Times New Roman" w:hAnsi="Times New Roman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（政府督查完成度</w:t>
      </w:r>
      <w:r>
        <w:rPr>
          <w:rFonts w:ascii="Times New Roman" w:eastAsia="方正仿宋_GBK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、</w:t>
      </w:r>
      <w:r>
        <w:rPr>
          <w:rFonts w:ascii="Times New Roman" w:eastAsia="方正仿宋_GBK" w:cs="Times New Roman" w:hAnsi="Times New Roman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公文处理及会务活动办理问题发生数</w:t>
      </w:r>
      <w:r>
        <w:rPr>
          <w:rFonts w:ascii="Times New Roman" w:eastAsia="方正仿宋_GBK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、</w:t>
      </w:r>
      <w:r>
        <w:rPr>
          <w:rFonts w:ascii="Times New Roman" w:eastAsia="方正仿宋_GBK" w:cs="Times New Roman" w:hAnsi="Times New Roman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政务信息完成率</w:t>
      </w:r>
      <w:r>
        <w:rPr>
          <w:rFonts w:ascii="Times New Roman" w:eastAsia="方正仿宋_GBK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、</w:t>
      </w:r>
      <w:r>
        <w:rPr>
          <w:rFonts w:ascii="Times New Roman" w:eastAsia="方正仿宋_GBK" w:cs="Times New Roman" w:hAnsi="Times New Roman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值班值守问题发生数</w:t>
      </w:r>
      <w:r>
        <w:rPr>
          <w:rFonts w:ascii="Times New Roman" w:eastAsia="方正仿宋_GBK" w:cs="Times New Roman" w:hAnsi="Times New Roman" w:hint="eastAsia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、</w:t>
      </w:r>
      <w:r>
        <w:rPr>
          <w:rFonts w:ascii="Times New Roman" w:eastAsia="方正仿宋_GBK" w:cs="Times New Roman" w:hAnsi="Times New Roman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/>
        </w:rPr>
        <w:t>政务效能问题发生数）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</w:pP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委、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政府分管领导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（签字）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</w:pP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牵头考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核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部门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（盖章）：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区政府办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 xml:space="preserve">       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主要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负责人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eastAsia="zh-CN"/>
        </w:rPr>
        <w:t>（签字）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</w:pP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eastAsia="zh-CN"/>
        </w:rPr>
        <w:t>考核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 xml:space="preserve">经办人：林荣恒            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 w:hint="eastAsia"/>
          <w:b w:val="0"/>
          <w:bCs w:val="0"/>
          <w:color w:val="auto"/>
          <w:spacing w:val="6"/>
          <w:sz w:val="28"/>
          <w:szCs w:val="28"/>
          <w:lang w:val="en-US" w:eastAsia="zh-CN"/>
        </w:rPr>
        <w:t xml:space="preserve">      </w:t>
      </w:r>
      <w:r>
        <w:rPr>
          <w:rFonts w:ascii="Times New Roman" w:eastAsia="方正仿宋_GBK" w:cs="Times New Roman" w:hAnsi="Times New Roman"/>
          <w:b w:val="0"/>
          <w:bCs w:val="0"/>
          <w:color w:val="auto"/>
          <w:spacing w:val="6"/>
          <w:sz w:val="28"/>
          <w:szCs w:val="28"/>
        </w:rPr>
        <w:t>联系电话：0827—3663956</w:t>
      </w:r>
    </w:p>
    <w:tbl>
      <w:tblPr>
        <w:jc w:val="left"/>
        <w:tblInd w:w="96" w:type="dxa"/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4818"/>
        <w:gridCol w:w="1144"/>
        <w:gridCol w:w="1087"/>
      </w:tblGrid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</w:rPr>
              <w:t>扣分原因及分值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得分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cs="方正黑体_GBK" w:hint="eastAsia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区发改局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区经信局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区教科局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1.未按时完成2024年区自选民生实事中的“学校校舍改造提升工程”，扣0.1分；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2.政务信息任务仅完成95%，扣0.05分；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因被市、区级政府门户网站和政务新媒体检查通报,扣0.2分。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2.6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区公安分局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1.政务信息任务仅完成90%，扣0.1分；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区民政局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1.政务信息任务仅完成95%，扣0.05分；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2.85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区财政局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区人社局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区自规局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9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区生态环境局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区交通运输局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1.政务信息任务仅完成90%，扣0.1分；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区水利局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1.政务信息任务仅完成95%，扣0.05分；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2.8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区商务局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区文广体旅局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1.政务信息任务仅完成95%，扣0.05分；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因被市、区级政府门户网站和政务新媒体检查通报,扣0.2分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2.7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区卫健局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区退役军人局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区应急局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区审计局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1.政务信息任务仅完成90%，扣0.1分；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因被区级政府门户网站和政务新媒体检查通报,扣0.2分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区统计局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500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区信访局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区投促局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1.政务信息任务仅完成90%，扣0.1分；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区医保局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1.政务信息任务仅完成90%，扣0.1分；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区行政审批和数据局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区综合执法局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1.政务信息任务仅完成90%，扣0.1分；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 w:bidi="ar-SA"/>
              </w:rPr>
              <w:t>因被区级政府门户网站和政务新媒体检查通报,扣0.1分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古镇管委会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70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区国资局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区房管局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区环卫局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区机关事务服务中心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区交易中心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区土储中心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政务信息任务仅完成95%，扣0.05分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.95</w:t>
            </w:r>
            <w:bookmarkStart w:id="0" w:name="_GoBack"/>
            <w:bookmarkEnd w:id="0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工业园管委会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区气象办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万寿养生谷景区管理中心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政务信息任务仅完成90%，扣0.1分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  <w:tr>
        <w:trPr>
          <w:trHeight w:val="65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  <w:t>其他区级部门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  <w:szCs w:val="24"/>
                <w:lang w:val="en-US" w:eastAsia="zh-CN"/>
              </w:rPr>
              <w:t>均无扣分事项。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ascii="Times New Roman" w:eastAsia="方正仿宋_GBK" w:cs="Times New Roman" w:hAnsi="Times New Roman"/>
                <w:color w:val="auto"/>
                <w:spacing w:val="6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300" w:lineRule="exact"/>
        <w:rPr>
          <w:rFonts w:ascii="Times New Roman" w:eastAsia="方正仿宋_GBK" w:hAnsi="Times New Roman"/>
          <w:b/>
          <w:bCs/>
          <w:color w:val="auto"/>
          <w:spacing w:val="6"/>
          <w:sz w:val="21"/>
          <w:szCs w:val="21"/>
        </w:rPr>
      </w:pPr>
      <w:r>
        <w:rPr>
          <w:rFonts w:ascii="方正黑体_GBK" w:eastAsia="方正黑体_GBK" w:cs="方正黑体_GBK" w:hint="eastAsia"/>
          <w:b/>
          <w:bCs/>
          <w:color w:val="auto"/>
          <w:spacing w:val="6"/>
          <w:sz w:val="21"/>
          <w:szCs w:val="21"/>
          <w:lang w:eastAsia="zh-CN"/>
        </w:rPr>
        <w:t>备注：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1.所有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事项均按单项指标赋予的实际分值进行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考核；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2.所有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考核事项、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被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单位应考尽考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，不得遗漏考核事项、被考核单位；3.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按照“1个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二级指标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1张</w:t>
      </w:r>
      <w:r>
        <w:rPr>
          <w:rFonts w:ascii="Times New Roman" w:eastAsia="方正仿宋_GBK" w:cs="Times New Roman" w:hAnsi="Times New Roman" w:hint="eastAsia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ascii="Times New Roman" w:eastAsia="方正仿宋_GBK" w:cs="Times New Roman" w:hAnsi="Times New Roman"/>
          <w:b/>
          <w:bCs/>
          <w:color w:val="auto"/>
          <w:spacing w:val="6"/>
          <w:sz w:val="21"/>
          <w:szCs w:val="21"/>
          <w:lang w:val="en-US" w:eastAsia="zh-CN"/>
        </w:rPr>
        <w:t>表”的原则进行填报。</w:t>
      </w:r>
    </w:p>
    <w:sectPr>
      <w:footerReference w:type="default" r:id="rId2"/>
      <w:pgSz w:w="11907" w:h="16840"/>
      <w:pgMar w:top="2098" w:right="1474" w:bottom="1871" w:left="1587" w:header="851" w:footer="1474" w:gutter="0"/>
      <w:docGrid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仿宋简体">
    <w:altName w:val="文泉驿正黑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文鼎CS仿宋体">
    <w:altName w:val="方正仿宋_GBK"/>
    <w:panose1 w:val="00000000000000000000"/>
    <w:charset w:val="00"/>
    <w:family w:val="modern"/>
    <w:pitch w:val="variable"/>
    <w:sig w:usb0="00000000" w:usb1="00000000" w:usb2="00000010" w:usb3="00000000" w:csb0="00040000" w:csb1="00000000"/>
  </w:font>
  <w:font w:name="Liberation Sans">
    <w:altName w:val="文泉驿正黑"/>
    <w:panose1 w:val="00000000000000000000"/>
    <w:charset w:val="00"/>
    <w:family w:val="swiss"/>
    <w:pitch w:val="variable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variable"/>
    <w:sig w:usb0="00000000" w:usb1="00000000" w:usb2="00000016" w:usb3="00000000" w:csb0="602E0107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tabs>
        <w:tab w:val="center" w:pos="4153"/>
        <w:tab w:val="right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100" cy="204470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00100" cy="20447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2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5"/>
                              <w:rFonts w:ascii="Times New Roman" w:hAnsi="Times New Roman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2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 3" o:spid="_x0000_s3" filled="f" stroked="f" strokeweight="0.5pt" style="position:absolute;margin-left:0.0pt;margin-top:0.0pt;width:63.0pt;height:16.1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1"/>
                      <w:tabs>
                        <w:tab w:val="center" w:pos="4153"/>
                        <w:tab w:val="right" w:pos="8306"/>
                      </w:tabs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5"/>
                        <w:rFonts w:ascii="Times New Roman" w:hAnsi="Times New Roman"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25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  <w:docVars>
    <w:docVar w:name="commondata" w:val="eyJoZGlkIjoiMTc1NjdmOTYyZGU2ZjU4OTgwNmMwY2E0N2Q4OTFjYTcifQ=="/>
    <w:docVar w:name="KSO_WPS_MARK_KEY" w:val="43fcef61-38fd-4b20-b445-2501677657e5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仿宋_GB2312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color w:val="auto"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Indent"/>
    <w:basedOn w:val="0"/>
    <w:next w:val="16"/>
    <w:pPr>
      <w:ind w:firstLine="680"/>
    </w:pPr>
    <w:rPr>
      <w:rFonts w:eastAsia="文鼎CS仿宋体"/>
    </w:rPr>
  </w:style>
  <w:style w:type="paragraph" w:styleId="16">
    <w:name w:val="Body Text"/>
    <w:basedOn w:val="0"/>
    <w:next w:val="17"/>
    <w:pPr>
      <w:spacing w:after="120"/>
    </w:pPr>
  </w:style>
  <w:style w:type="paragraph" w:customStyle="1" w:styleId="17">
    <w:name w:val="Heading"/>
    <w:basedOn w:val="0"/>
    <w:next w:val="16"/>
    <w:pPr>
      <w:keepNext/>
      <w:widowControl w:val="0"/>
      <w:suppressAutoHyphens/>
      <w:spacing w:before="240" w:after="120"/>
    </w:pPr>
    <w:rPr>
      <w:rFonts w:ascii="Liberation Sans" w:eastAsia="Noto Sans CJK SC Regular" w:cs="Noto Sans CJK SC Regular" w:hAnsi="Liberation Sans"/>
      <w:sz w:val="28"/>
      <w:szCs w:val="28"/>
      <w:lang w:bidi="ar-SA"/>
    </w:rPr>
  </w:style>
  <w:style w:type="paragraph" w:styleId="18">
    <w:name w:val="Document Map"/>
    <w:basedOn w:val="0"/>
    <w:rPr>
      <w:rFonts w:ascii="宋体" w:eastAsia="宋体"/>
      <w:sz w:val="18"/>
      <w:szCs w:val="18"/>
    </w:rPr>
  </w:style>
  <w:style w:type="paragraph" w:styleId="19">
    <w:name w:val="Body Text Indent"/>
    <w:basedOn w:val="0"/>
    <w:pPr>
      <w:ind w:firstLineChars="200" w:firstLine="200"/>
    </w:pPr>
  </w:style>
  <w:style w:type="paragraph" w:styleId="20">
    <w:name w:val="Balloon Text"/>
    <w:basedOn w:val="0"/>
    <w:rPr>
      <w:sz w:val="18"/>
      <w:szCs w:val="18"/>
    </w:rPr>
  </w:style>
  <w:style w:type="paragraph" w:styleId="21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Normal (Web)"/>
    <w:basedOn w:val="0"/>
    <w:pPr>
      <w:widowControl/>
      <w:jc w:val="left"/>
    </w:pPr>
    <w:rPr>
      <w:rFonts w:ascii="宋体" w:eastAsia="宋体" w:cs="宋体"/>
      <w:color w:val="auto"/>
      <w:kern w:val="0"/>
      <w:sz w:val="24"/>
      <w:szCs w:val="24"/>
    </w:rPr>
  </w:style>
  <w:style w:type="paragraph" w:styleId="24">
    <w:name w:val="Body Text First Indent 2"/>
    <w:basedOn w:val="19"/>
  </w:style>
  <w:style w:type="character" w:styleId="25">
    <w:name w:val="page number"/>
    <w:basedOn w:val="10"/>
  </w:style>
  <w:style w:type="character" w:styleId="26">
    <w:name w:val="Hyperlink"/>
    <w:basedOn w:val="10"/>
    <w:rPr>
      <w:color w:val="0000FF"/>
      <w:u w:val="single"/>
    </w:rPr>
  </w:style>
  <w:style w:type="paragraph" w:customStyle="1" w:styleId="27">
    <w:name w:val="标题 5（有编号）（绿盟科技）"/>
    <w:basedOn w:val="0"/>
    <w:next w:val="28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28">
    <w:name w:val="正文（绿盟科技）"/>
    <w:pPr>
      <w:spacing w:line="300" w:lineRule="auto"/>
    </w:pPr>
    <w:rPr>
      <w:rFonts w:ascii="Arial" w:eastAsia="宋体" w:cs="Times New Roman" w:hAnsi="Arial"/>
      <w:sz w:val="21"/>
      <w:szCs w:val="21"/>
      <w:lang w:val="en-US" w:eastAsia="zh-CN" w:bidi="ar-SA"/>
    </w:rPr>
  </w:style>
  <w:style w:type="paragraph" w:customStyle="1" w:styleId="29">
    <w:name w:val="文本"/>
    <w:basedOn w:val="0"/>
    <w:next w:val="15"/>
    <w:pPr>
      <w:spacing w:line="360" w:lineRule="auto"/>
      <w:ind w:firstLine="480"/>
    </w:pPr>
    <w:rPr>
      <w:sz w:val="24"/>
    </w:rPr>
  </w:style>
  <w:style w:type="paragraph" w:customStyle="1" w:styleId="30">
    <w:name w:val="p0"/>
    <w:basedOn w:val="0"/>
    <w:pPr>
      <w:widowControl/>
    </w:pPr>
    <w:rPr>
      <w:rFonts w:cs="宋体"/>
      <w:kern w:val="0"/>
    </w:rPr>
  </w:style>
  <w:style w:type="character" w:customStyle="1" w:styleId="31">
    <w:name w:val="font21"/>
    <w:basedOn w:val="10"/>
    <w:rPr>
      <w:rFonts w:ascii="Times New Roman" w:cs="Times New Roman" w:hAnsi="Times New Roman"/>
      <w:b/>
      <w:color w:val="000000"/>
      <w:sz w:val="22"/>
      <w:szCs w:val="22"/>
      <w:u w:val="none"/>
    </w:rPr>
  </w:style>
  <w:style w:type="character" w:customStyle="1" w:styleId="32">
    <w:name w:val="font01"/>
    <w:basedOn w:val="10"/>
    <w:rPr>
      <w:rFonts w:ascii="方正仿宋_GBK" w:eastAsia="方正仿宋_GBK" w:cs="方正仿宋_GBK"/>
      <w:color w:val="000000"/>
      <w:sz w:val="22"/>
      <w:szCs w:val="22"/>
      <w:u w:val="none"/>
    </w:rPr>
  </w:style>
  <w:style w:type="character" w:customStyle="1" w:styleId="33">
    <w:name w:val="font11"/>
    <w:basedOn w:val="10"/>
    <w:rPr>
      <w:rFonts w:ascii="Times New Roman" w:cs="Times New Roman" w:hAnsi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3</Pages>
  <Words>1281</Words>
  <Characters>1590</Characters>
  <Lines>189</Lines>
  <Paragraphs>131</Paragraphs>
  <CharactersWithSpaces>1616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11</cp:revision>
  <cp:lastPrinted>2025-03-25T02:02:00Z</cp:lastPrinted>
  <dcterms:created xsi:type="dcterms:W3CDTF">2019-12-07T09:01:00Z</dcterms:created>
  <dcterms:modified xsi:type="dcterms:W3CDTF">2025-04-11T09:34:47Z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31ECAAC3024742329398BBA01552E4F9_13</vt:lpwstr>
  </property>
  <property fmtid="{D5CDD505-2E9C-101B-9397-08002B2CF9AE}" pid="4" name="KSOTemplateDocerSaveRecord">
    <vt:lpwstr>eyJoZGlkIjoiYWNiNDY2YTBhM2U4YzQzNTYzZTAxYTEwZWZhODc3NmEiLCJ1c2VySWQiOiIxMTMyNDQxNzEyIn0=</vt:lpwstr>
  </property>
</Properties>
</file>